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CD0" w:rsidRPr="009D7485" w:rsidRDefault="009D7485" w:rsidP="009D7485">
      <w:pPr>
        <w:jc w:val="center"/>
        <w:rPr>
          <w:sz w:val="52"/>
          <w:szCs w:val="52"/>
        </w:rPr>
      </w:pPr>
      <w:r>
        <w:rPr>
          <w:noProof/>
          <w:sz w:val="52"/>
          <w:szCs w:val="52"/>
        </w:rPr>
        <w:drawing>
          <wp:inline distT="0" distB="0" distL="0" distR="0">
            <wp:extent cx="1143000" cy="1045585"/>
            <wp:effectExtent l="0" t="0" r="0" b="2540"/>
            <wp:docPr id="1" name="Picture 1" descr="C:\Users\stevan.perez1\Pictures\AIT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van.perez1\Pictures\AITB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6321" cy="1048623"/>
                    </a:xfrm>
                    <a:prstGeom prst="rect">
                      <a:avLst/>
                    </a:prstGeom>
                    <a:noFill/>
                    <a:ln>
                      <a:noFill/>
                    </a:ln>
                  </pic:spPr>
                </pic:pic>
              </a:graphicData>
            </a:graphic>
          </wp:inline>
        </w:drawing>
      </w:r>
      <w:r>
        <w:rPr>
          <w:sz w:val="52"/>
          <w:szCs w:val="52"/>
        </w:rPr>
        <w:t xml:space="preserve">   </w:t>
      </w:r>
      <w:r w:rsidRPr="009D7485">
        <w:rPr>
          <w:sz w:val="52"/>
          <w:szCs w:val="52"/>
        </w:rPr>
        <w:t>INFANTRY SMALL UNIT</w:t>
      </w:r>
      <w:r>
        <w:rPr>
          <w:sz w:val="52"/>
          <w:szCs w:val="52"/>
        </w:rPr>
        <w:t xml:space="preserve">   </w:t>
      </w:r>
      <w:r w:rsidRPr="009D7485">
        <w:rPr>
          <w:sz w:val="52"/>
          <w:szCs w:val="52"/>
        </w:rPr>
        <w:t xml:space="preserve"> </w:t>
      </w:r>
      <w:r>
        <w:rPr>
          <w:noProof/>
          <w:sz w:val="52"/>
          <w:szCs w:val="52"/>
        </w:rPr>
        <w:drawing>
          <wp:inline distT="0" distB="0" distL="0" distR="0">
            <wp:extent cx="1076325" cy="1076325"/>
            <wp:effectExtent l="0" t="0" r="9525" b="9525"/>
            <wp:docPr id="2" name="Picture 2" descr="C:\Users\stevan.perez1\Pictures\AITB2.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evan.perez1\Pictures\AITB2.jpg.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r w:rsidRPr="009D7485">
        <w:rPr>
          <w:sz w:val="52"/>
          <w:szCs w:val="52"/>
        </w:rPr>
        <w:br/>
        <w:t>LEADER COURSE</w:t>
      </w:r>
    </w:p>
    <w:p w:rsidR="009D7485" w:rsidRDefault="009D7485" w:rsidP="009D7485">
      <w:pPr>
        <w:pStyle w:val="ListParagraph"/>
        <w:numPr>
          <w:ilvl w:val="0"/>
          <w:numId w:val="1"/>
        </w:numPr>
        <w:kinsoku w:val="0"/>
        <w:overflowPunct w:val="0"/>
        <w:textAlignment w:val="baseline"/>
        <w:rPr>
          <w:sz w:val="28"/>
        </w:rPr>
      </w:pPr>
      <w:r>
        <w:rPr>
          <w:rFonts w:asciiTheme="minorHAnsi" w:eastAsiaTheme="minorEastAsia" w:hAnsi="Calibri" w:cs="Tahoma"/>
          <w:color w:val="000000" w:themeColor="text1"/>
          <w:kern w:val="24"/>
          <w:sz w:val="28"/>
          <w:szCs w:val="28"/>
          <w:u w:val="single"/>
        </w:rPr>
        <w:t>Purpose</w:t>
      </w:r>
      <w:r>
        <w:rPr>
          <w:rFonts w:asciiTheme="minorHAnsi" w:eastAsiaTheme="minorEastAsia" w:hAnsi="Calibri" w:cs="Tahoma"/>
          <w:color w:val="000000" w:themeColor="text1"/>
          <w:kern w:val="24"/>
          <w:sz w:val="28"/>
          <w:szCs w:val="28"/>
        </w:rPr>
        <w:t>:  To develop the leadership, decision making ability, and adaptive expertise of the infantry sergeant.  The course exercises critical thinking, supports cognitive development, and challenges the small unit leader to solve complex problems.  This environment will enhance the small unit leader’s ability to understand and employ the art and science of combined arms.</w:t>
      </w:r>
    </w:p>
    <w:p w:rsidR="009D7485" w:rsidRDefault="009D7485" w:rsidP="009D7485">
      <w:pPr>
        <w:pStyle w:val="ListParagraph"/>
        <w:numPr>
          <w:ilvl w:val="0"/>
          <w:numId w:val="1"/>
        </w:numPr>
        <w:textAlignment w:val="baseline"/>
        <w:rPr>
          <w:sz w:val="28"/>
        </w:rPr>
      </w:pPr>
      <w:r>
        <w:rPr>
          <w:rFonts w:asciiTheme="minorHAnsi" w:eastAsiaTheme="minorEastAsia" w:hAnsi="Calibri" w:cs="Tahoma"/>
          <w:color w:val="000000" w:themeColor="text1"/>
          <w:kern w:val="24"/>
          <w:sz w:val="28"/>
          <w:szCs w:val="28"/>
          <w:u w:val="single"/>
        </w:rPr>
        <w:t>Task List</w:t>
      </w:r>
      <w:r>
        <w:rPr>
          <w:rFonts w:asciiTheme="minorHAnsi" w:eastAsiaTheme="minorEastAsia" w:hAnsi="Calibri" w:cs="Tahoma"/>
          <w:color w:val="000000" w:themeColor="text1"/>
          <w:kern w:val="24"/>
          <w:sz w:val="28"/>
          <w:szCs w:val="28"/>
        </w:rPr>
        <w:t xml:space="preserve">: </w:t>
      </w:r>
    </w:p>
    <w:p w:rsidR="009D7485" w:rsidRDefault="009D7485" w:rsidP="009D7485">
      <w:pPr>
        <w:pStyle w:val="ListParagraph"/>
        <w:numPr>
          <w:ilvl w:val="1"/>
          <w:numId w:val="1"/>
        </w:numPr>
        <w:spacing w:line="216" w:lineRule="auto"/>
        <w:textAlignment w:val="baseline"/>
        <w:rPr>
          <w:sz w:val="28"/>
        </w:rPr>
      </w:pPr>
      <w:r>
        <w:rPr>
          <w:rFonts w:asciiTheme="minorHAnsi" w:eastAsiaTheme="minorEastAsia" w:hAnsi="Calibri" w:cs="Arial"/>
          <w:color w:val="000000" w:themeColor="text1"/>
          <w:kern w:val="24"/>
          <w:sz w:val="28"/>
          <w:szCs w:val="28"/>
        </w:rPr>
        <w:t xml:space="preserve">2000 Level: </w:t>
      </w:r>
    </w:p>
    <w:p w:rsidR="009D7485" w:rsidRDefault="009D7485" w:rsidP="009D7485">
      <w:pPr>
        <w:pStyle w:val="ListParagraph"/>
        <w:numPr>
          <w:ilvl w:val="2"/>
          <w:numId w:val="1"/>
        </w:numPr>
        <w:spacing w:line="216" w:lineRule="auto"/>
        <w:textAlignment w:val="baseline"/>
        <w:rPr>
          <w:sz w:val="28"/>
        </w:rPr>
      </w:pPr>
      <w:r>
        <w:rPr>
          <w:rFonts w:asciiTheme="minorHAnsi" w:eastAsiaTheme="minorEastAsia" w:hAnsi="Calibri" w:cs="Arial"/>
          <w:color w:val="000000" w:themeColor="text1"/>
          <w:kern w:val="24"/>
          <w:sz w:val="28"/>
          <w:szCs w:val="28"/>
        </w:rPr>
        <w:t>Fire support</w:t>
      </w:r>
    </w:p>
    <w:p w:rsidR="009D7485" w:rsidRDefault="009D7485" w:rsidP="009D7485">
      <w:pPr>
        <w:pStyle w:val="ListParagraph"/>
        <w:numPr>
          <w:ilvl w:val="2"/>
          <w:numId w:val="1"/>
        </w:numPr>
        <w:spacing w:line="216" w:lineRule="auto"/>
        <w:textAlignment w:val="baseline"/>
        <w:rPr>
          <w:sz w:val="28"/>
        </w:rPr>
      </w:pPr>
      <w:r>
        <w:rPr>
          <w:rFonts w:asciiTheme="minorHAnsi" w:eastAsiaTheme="minorEastAsia" w:hAnsi="Calibri" w:cs="Arial"/>
          <w:color w:val="000000" w:themeColor="text1"/>
          <w:kern w:val="24"/>
          <w:sz w:val="28"/>
          <w:szCs w:val="28"/>
        </w:rPr>
        <w:t xml:space="preserve">Patrolling </w:t>
      </w:r>
    </w:p>
    <w:p w:rsidR="009D7485" w:rsidRDefault="009D7485" w:rsidP="009D7485">
      <w:pPr>
        <w:pStyle w:val="ListParagraph"/>
        <w:numPr>
          <w:ilvl w:val="2"/>
          <w:numId w:val="1"/>
        </w:numPr>
        <w:spacing w:line="216" w:lineRule="auto"/>
        <w:textAlignment w:val="baseline"/>
        <w:rPr>
          <w:sz w:val="28"/>
        </w:rPr>
      </w:pPr>
      <w:r>
        <w:rPr>
          <w:rFonts w:asciiTheme="minorHAnsi" w:eastAsiaTheme="minorEastAsia" w:hAnsi="Calibri" w:cs="Arial"/>
          <w:color w:val="000000" w:themeColor="text1"/>
          <w:kern w:val="24"/>
          <w:sz w:val="28"/>
          <w:szCs w:val="28"/>
        </w:rPr>
        <w:t>Offensive tactical measures and operations</w:t>
      </w:r>
    </w:p>
    <w:p w:rsidR="009D7485" w:rsidRDefault="009D7485" w:rsidP="009D7485">
      <w:pPr>
        <w:pStyle w:val="ListParagraph"/>
        <w:numPr>
          <w:ilvl w:val="2"/>
          <w:numId w:val="1"/>
        </w:numPr>
        <w:spacing w:line="216" w:lineRule="auto"/>
        <w:textAlignment w:val="baseline"/>
        <w:rPr>
          <w:sz w:val="28"/>
        </w:rPr>
      </w:pPr>
      <w:r>
        <w:rPr>
          <w:rFonts w:asciiTheme="minorHAnsi" w:eastAsiaTheme="minorEastAsia" w:hAnsi="Calibri" w:cs="Arial"/>
          <w:color w:val="000000" w:themeColor="text1"/>
          <w:kern w:val="24"/>
          <w:sz w:val="28"/>
          <w:szCs w:val="28"/>
        </w:rPr>
        <w:t>Defensive tactical measures and operations</w:t>
      </w:r>
    </w:p>
    <w:p w:rsidR="009D7485" w:rsidRDefault="009D7485" w:rsidP="009D7485">
      <w:pPr>
        <w:pStyle w:val="ListParagraph"/>
        <w:numPr>
          <w:ilvl w:val="2"/>
          <w:numId w:val="1"/>
        </w:numPr>
        <w:spacing w:line="216" w:lineRule="auto"/>
        <w:textAlignment w:val="baseline"/>
        <w:rPr>
          <w:sz w:val="28"/>
        </w:rPr>
      </w:pPr>
      <w:r>
        <w:rPr>
          <w:rFonts w:asciiTheme="minorHAnsi" w:eastAsiaTheme="minorEastAsia" w:hAnsi="Calibri" w:cs="Arial"/>
          <w:color w:val="000000" w:themeColor="text1"/>
          <w:kern w:val="24"/>
          <w:sz w:val="28"/>
          <w:szCs w:val="28"/>
        </w:rPr>
        <w:t>Military operation in urban terrain</w:t>
      </w:r>
    </w:p>
    <w:p w:rsidR="009D7485" w:rsidRDefault="009D7485" w:rsidP="009D7485">
      <w:pPr>
        <w:pStyle w:val="ListParagraph"/>
        <w:numPr>
          <w:ilvl w:val="2"/>
          <w:numId w:val="1"/>
        </w:numPr>
        <w:spacing w:line="216" w:lineRule="auto"/>
        <w:textAlignment w:val="baseline"/>
        <w:rPr>
          <w:sz w:val="28"/>
        </w:rPr>
      </w:pPr>
      <w:r>
        <w:rPr>
          <w:rFonts w:asciiTheme="minorHAnsi" w:eastAsiaTheme="minorEastAsia" w:hAnsi="Calibri" w:cs="Arial"/>
          <w:color w:val="000000" w:themeColor="text1"/>
          <w:kern w:val="24"/>
          <w:sz w:val="28"/>
          <w:szCs w:val="28"/>
        </w:rPr>
        <w:t xml:space="preserve">Conduct sustainment and integrate training </w:t>
      </w:r>
    </w:p>
    <w:p w:rsidR="009D7485" w:rsidRDefault="009D7485" w:rsidP="009D7485">
      <w:pPr>
        <w:pStyle w:val="ListParagraph"/>
        <w:numPr>
          <w:ilvl w:val="0"/>
          <w:numId w:val="1"/>
        </w:numPr>
        <w:spacing w:line="216" w:lineRule="auto"/>
        <w:textAlignment w:val="baseline"/>
        <w:rPr>
          <w:sz w:val="28"/>
        </w:rPr>
      </w:pPr>
      <w:r>
        <w:rPr>
          <w:rFonts w:asciiTheme="minorHAnsi" w:eastAsiaTheme="minorEastAsia" w:hAnsi="Calibri" w:cs="Tahoma"/>
          <w:color w:val="000000" w:themeColor="text1"/>
          <w:kern w:val="24"/>
          <w:sz w:val="28"/>
          <w:szCs w:val="28"/>
          <w:u w:val="single"/>
        </w:rPr>
        <w:t>Methodology</w:t>
      </w:r>
      <w:r>
        <w:rPr>
          <w:rFonts w:asciiTheme="minorHAnsi" w:eastAsiaTheme="minorEastAsia" w:hAnsi="Calibri" w:cs="Tahoma"/>
          <w:color w:val="000000" w:themeColor="text1"/>
          <w:kern w:val="24"/>
          <w:sz w:val="28"/>
          <w:szCs w:val="28"/>
        </w:rPr>
        <w:t xml:space="preserve">:  </w:t>
      </w:r>
      <w:r>
        <w:rPr>
          <w:rFonts w:asciiTheme="minorHAnsi" w:eastAsiaTheme="minorEastAsia" w:hAnsi="Calibri" w:cs="Arial"/>
          <w:color w:val="000000" w:themeColor="text1"/>
          <w:kern w:val="24"/>
          <w:sz w:val="28"/>
          <w:szCs w:val="28"/>
        </w:rPr>
        <w:t>Students are placed in a succession of scenarios progressing in duration and complexity.  The scenarios are executed as tactical decision games, sand table exercises, decision forcing cases, field training, and live fire exercises.  Instructors coach and mentor the students while providing objective and doctrinally-based assessments.  Peers provide additional assessments and focused feedback while participating in decision-centric after action reviews</w:t>
      </w:r>
      <w:r>
        <w:rPr>
          <w:rFonts w:asciiTheme="minorHAnsi" w:eastAsiaTheme="minorEastAsia" w:hAnsi="Calibri" w:cs="Tahoma"/>
          <w:color w:val="000000" w:themeColor="text1"/>
          <w:kern w:val="24"/>
          <w:sz w:val="28"/>
          <w:szCs w:val="28"/>
        </w:rPr>
        <w:t xml:space="preserve">.  The course allows students the ability to develop their decision-making and adaptive leadership skills by demonstrating them in a training environment.    </w:t>
      </w:r>
    </w:p>
    <w:p w:rsidR="009D7485" w:rsidRPr="009D7485" w:rsidRDefault="009D7485" w:rsidP="009D7485">
      <w:pPr>
        <w:pStyle w:val="ListParagraph"/>
        <w:numPr>
          <w:ilvl w:val="0"/>
          <w:numId w:val="1"/>
        </w:numPr>
        <w:spacing w:line="216" w:lineRule="auto"/>
        <w:textAlignment w:val="baseline"/>
        <w:rPr>
          <w:sz w:val="28"/>
        </w:rPr>
      </w:pPr>
      <w:r>
        <w:rPr>
          <w:rFonts w:asciiTheme="minorHAnsi" w:eastAsiaTheme="minorEastAsia" w:hAnsi="Calibri" w:cs="Tahoma"/>
          <w:color w:val="000000" w:themeColor="text1"/>
          <w:kern w:val="24"/>
          <w:sz w:val="28"/>
          <w:szCs w:val="28"/>
          <w:u w:val="single"/>
        </w:rPr>
        <w:t>Course Length</w:t>
      </w:r>
      <w:r>
        <w:rPr>
          <w:rFonts w:asciiTheme="minorHAnsi" w:eastAsiaTheme="minorEastAsia" w:hAnsi="Calibri" w:cs="Tahoma"/>
          <w:color w:val="000000" w:themeColor="text1"/>
          <w:kern w:val="24"/>
          <w:sz w:val="28"/>
          <w:szCs w:val="28"/>
        </w:rPr>
        <w:t xml:space="preserve">:  </w:t>
      </w:r>
      <w:r w:rsidR="00D434CD">
        <w:rPr>
          <w:rFonts w:asciiTheme="minorHAnsi" w:eastAsiaTheme="minorEastAsia" w:hAnsi="Calibri" w:cs="Tahoma"/>
          <w:color w:val="000000" w:themeColor="text1"/>
          <w:kern w:val="24"/>
          <w:sz w:val="28"/>
          <w:szCs w:val="28"/>
        </w:rPr>
        <w:t>5</w:t>
      </w:r>
      <w:r>
        <w:rPr>
          <w:rFonts w:asciiTheme="minorHAnsi" w:eastAsiaTheme="minorEastAsia" w:hAnsi="Calibri" w:cs="Tahoma"/>
          <w:color w:val="000000" w:themeColor="text1"/>
          <w:kern w:val="24"/>
          <w:sz w:val="28"/>
          <w:szCs w:val="28"/>
        </w:rPr>
        <w:t xml:space="preserve"> Weeks / 3</w:t>
      </w:r>
      <w:r w:rsidR="00D434CD">
        <w:rPr>
          <w:rFonts w:asciiTheme="minorHAnsi" w:eastAsiaTheme="minorEastAsia" w:hAnsi="Calibri" w:cs="Tahoma"/>
          <w:color w:val="000000" w:themeColor="text1"/>
          <w:kern w:val="24"/>
          <w:sz w:val="28"/>
          <w:szCs w:val="28"/>
        </w:rPr>
        <w:t>0</w:t>
      </w:r>
      <w:bookmarkStart w:id="0" w:name="_GoBack"/>
      <w:bookmarkEnd w:id="0"/>
      <w:r>
        <w:rPr>
          <w:rFonts w:asciiTheme="minorHAnsi" w:eastAsiaTheme="minorEastAsia" w:hAnsi="Calibri" w:cs="Tahoma"/>
          <w:color w:val="000000" w:themeColor="text1"/>
          <w:kern w:val="24"/>
          <w:sz w:val="28"/>
          <w:szCs w:val="28"/>
        </w:rPr>
        <w:t xml:space="preserve"> Training Days</w:t>
      </w:r>
      <w:r>
        <w:rPr>
          <w:rFonts w:ascii="Arial" w:eastAsiaTheme="minorEastAsia" w:hAnsi="Arial" w:cs="Tahoma"/>
          <w:color w:val="000000" w:themeColor="text1"/>
          <w:kern w:val="24"/>
          <w:sz w:val="28"/>
          <w:szCs w:val="28"/>
          <w:u w:val="single"/>
        </w:rPr>
        <w:t xml:space="preserve">   </w:t>
      </w:r>
    </w:p>
    <w:p w:rsidR="009D7485" w:rsidRDefault="009D7485" w:rsidP="009D7485">
      <w:pPr>
        <w:pStyle w:val="ListParagraph"/>
        <w:spacing w:line="216" w:lineRule="auto"/>
        <w:textAlignment w:val="baseline"/>
        <w:rPr>
          <w:rFonts w:asciiTheme="minorHAnsi" w:eastAsiaTheme="minorEastAsia" w:hAnsi="Calibri" w:cs="Tahoma"/>
          <w:color w:val="000000" w:themeColor="text1"/>
          <w:kern w:val="24"/>
          <w:sz w:val="28"/>
          <w:szCs w:val="28"/>
          <w:u w:val="single"/>
        </w:rPr>
      </w:pPr>
    </w:p>
    <w:p w:rsidR="009D7485" w:rsidRDefault="009D7485" w:rsidP="009D7485">
      <w:pPr>
        <w:pStyle w:val="ListParagraph"/>
        <w:spacing w:line="216" w:lineRule="auto"/>
        <w:textAlignment w:val="baseline"/>
        <w:rPr>
          <w:sz w:val="28"/>
        </w:rPr>
      </w:pPr>
      <w:r>
        <w:rPr>
          <w:rFonts w:ascii="Arial" w:eastAsiaTheme="minorEastAsia" w:hAnsi="Arial" w:cs="Tahoma"/>
          <w:color w:val="000000" w:themeColor="text1"/>
          <w:kern w:val="24"/>
          <w:sz w:val="28"/>
          <w:szCs w:val="28"/>
          <w:u w:val="single"/>
        </w:rPr>
        <w:t xml:space="preserve">  </w:t>
      </w:r>
    </w:p>
    <w:p w:rsidR="009D7485" w:rsidRDefault="00D434CD">
      <w:hyperlink r:id="rId8" w:history="1">
        <w:r w:rsidR="009D7485" w:rsidRPr="009D7485">
          <w:rPr>
            <w:rStyle w:val="Hyperlink"/>
          </w:rPr>
          <w:t>FY 14 Course Message</w:t>
        </w:r>
      </w:hyperlink>
    </w:p>
    <w:p w:rsidR="009D7485" w:rsidRDefault="00D434CD">
      <w:hyperlink r:id="rId9" w:history="1">
        <w:r w:rsidR="009D7485" w:rsidRPr="009D7485">
          <w:rPr>
            <w:rStyle w:val="Hyperlink"/>
          </w:rPr>
          <w:t>Command Screening Check List</w:t>
        </w:r>
      </w:hyperlink>
    </w:p>
    <w:p w:rsidR="009D7485" w:rsidRDefault="00D434CD">
      <w:hyperlink r:id="rId10" w:history="1">
        <w:r w:rsidR="006B30B7" w:rsidRPr="006B30B7">
          <w:rPr>
            <w:rStyle w:val="Hyperlink"/>
          </w:rPr>
          <w:t>Gear List</w:t>
        </w:r>
      </w:hyperlink>
    </w:p>
    <w:sectPr w:rsidR="009D74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A5F5D"/>
    <w:multiLevelType w:val="hybridMultilevel"/>
    <w:tmpl w:val="9BD60902"/>
    <w:lvl w:ilvl="0" w:tplc="0862F920">
      <w:start w:val="1"/>
      <w:numFmt w:val="bullet"/>
      <w:lvlText w:val="•"/>
      <w:lvlJc w:val="left"/>
      <w:pPr>
        <w:tabs>
          <w:tab w:val="num" w:pos="720"/>
        </w:tabs>
        <w:ind w:left="720" w:hanging="360"/>
      </w:pPr>
      <w:rPr>
        <w:rFonts w:ascii="Arial" w:hAnsi="Arial" w:hint="default"/>
      </w:rPr>
    </w:lvl>
    <w:lvl w:ilvl="1" w:tplc="D598D30E">
      <w:start w:val="1811"/>
      <w:numFmt w:val="bullet"/>
      <w:lvlText w:val="–"/>
      <w:lvlJc w:val="left"/>
      <w:pPr>
        <w:tabs>
          <w:tab w:val="num" w:pos="1440"/>
        </w:tabs>
        <w:ind w:left="1440" w:hanging="360"/>
      </w:pPr>
      <w:rPr>
        <w:rFonts w:ascii="Arial" w:hAnsi="Arial" w:hint="default"/>
      </w:rPr>
    </w:lvl>
    <w:lvl w:ilvl="2" w:tplc="676ACFDC">
      <w:start w:val="1811"/>
      <w:numFmt w:val="bullet"/>
      <w:lvlText w:val="•"/>
      <w:lvlJc w:val="left"/>
      <w:pPr>
        <w:tabs>
          <w:tab w:val="num" w:pos="2160"/>
        </w:tabs>
        <w:ind w:left="2160" w:hanging="360"/>
      </w:pPr>
      <w:rPr>
        <w:rFonts w:ascii="Arial" w:hAnsi="Arial" w:hint="default"/>
      </w:rPr>
    </w:lvl>
    <w:lvl w:ilvl="3" w:tplc="C48CDAB0" w:tentative="1">
      <w:start w:val="1"/>
      <w:numFmt w:val="bullet"/>
      <w:lvlText w:val="•"/>
      <w:lvlJc w:val="left"/>
      <w:pPr>
        <w:tabs>
          <w:tab w:val="num" w:pos="2880"/>
        </w:tabs>
        <w:ind w:left="2880" w:hanging="360"/>
      </w:pPr>
      <w:rPr>
        <w:rFonts w:ascii="Arial" w:hAnsi="Arial" w:hint="default"/>
      </w:rPr>
    </w:lvl>
    <w:lvl w:ilvl="4" w:tplc="3BE4FE96" w:tentative="1">
      <w:start w:val="1"/>
      <w:numFmt w:val="bullet"/>
      <w:lvlText w:val="•"/>
      <w:lvlJc w:val="left"/>
      <w:pPr>
        <w:tabs>
          <w:tab w:val="num" w:pos="3600"/>
        </w:tabs>
        <w:ind w:left="3600" w:hanging="360"/>
      </w:pPr>
      <w:rPr>
        <w:rFonts w:ascii="Arial" w:hAnsi="Arial" w:hint="default"/>
      </w:rPr>
    </w:lvl>
    <w:lvl w:ilvl="5" w:tplc="6BE46C6E" w:tentative="1">
      <w:start w:val="1"/>
      <w:numFmt w:val="bullet"/>
      <w:lvlText w:val="•"/>
      <w:lvlJc w:val="left"/>
      <w:pPr>
        <w:tabs>
          <w:tab w:val="num" w:pos="4320"/>
        </w:tabs>
        <w:ind w:left="4320" w:hanging="360"/>
      </w:pPr>
      <w:rPr>
        <w:rFonts w:ascii="Arial" w:hAnsi="Arial" w:hint="default"/>
      </w:rPr>
    </w:lvl>
    <w:lvl w:ilvl="6" w:tplc="58EE20A2" w:tentative="1">
      <w:start w:val="1"/>
      <w:numFmt w:val="bullet"/>
      <w:lvlText w:val="•"/>
      <w:lvlJc w:val="left"/>
      <w:pPr>
        <w:tabs>
          <w:tab w:val="num" w:pos="5040"/>
        </w:tabs>
        <w:ind w:left="5040" w:hanging="360"/>
      </w:pPr>
      <w:rPr>
        <w:rFonts w:ascii="Arial" w:hAnsi="Arial" w:hint="default"/>
      </w:rPr>
    </w:lvl>
    <w:lvl w:ilvl="7" w:tplc="54B2A44A" w:tentative="1">
      <w:start w:val="1"/>
      <w:numFmt w:val="bullet"/>
      <w:lvlText w:val="•"/>
      <w:lvlJc w:val="left"/>
      <w:pPr>
        <w:tabs>
          <w:tab w:val="num" w:pos="5760"/>
        </w:tabs>
        <w:ind w:left="5760" w:hanging="360"/>
      </w:pPr>
      <w:rPr>
        <w:rFonts w:ascii="Arial" w:hAnsi="Arial" w:hint="default"/>
      </w:rPr>
    </w:lvl>
    <w:lvl w:ilvl="8" w:tplc="5DD07E68"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485"/>
    <w:rsid w:val="000C1344"/>
    <w:rsid w:val="006B30B7"/>
    <w:rsid w:val="00793CD0"/>
    <w:rsid w:val="009D7485"/>
    <w:rsid w:val="00D434CD"/>
    <w:rsid w:val="00DE5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5F19"/>
    <w:pPr>
      <w:spacing w:after="0" w:line="240" w:lineRule="auto"/>
    </w:pPr>
  </w:style>
  <w:style w:type="paragraph" w:styleId="ListParagraph">
    <w:name w:val="List Paragraph"/>
    <w:basedOn w:val="Normal"/>
    <w:uiPriority w:val="34"/>
    <w:qFormat/>
    <w:rsid w:val="00DE5F19"/>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D74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485"/>
    <w:rPr>
      <w:rFonts w:ascii="Tahoma" w:hAnsi="Tahoma" w:cs="Tahoma"/>
      <w:sz w:val="16"/>
      <w:szCs w:val="16"/>
    </w:rPr>
  </w:style>
  <w:style w:type="character" w:styleId="Hyperlink">
    <w:name w:val="Hyperlink"/>
    <w:basedOn w:val="DefaultParagraphFont"/>
    <w:uiPriority w:val="99"/>
    <w:unhideWhenUsed/>
    <w:rsid w:val="009D7485"/>
    <w:rPr>
      <w:color w:val="0000FF" w:themeColor="hyperlink"/>
      <w:u w:val="single"/>
    </w:rPr>
  </w:style>
  <w:style w:type="character" w:styleId="FollowedHyperlink">
    <w:name w:val="FollowedHyperlink"/>
    <w:basedOn w:val="DefaultParagraphFont"/>
    <w:uiPriority w:val="99"/>
    <w:semiHidden/>
    <w:unhideWhenUsed/>
    <w:rsid w:val="000C134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5F19"/>
    <w:pPr>
      <w:spacing w:after="0" w:line="240" w:lineRule="auto"/>
    </w:pPr>
  </w:style>
  <w:style w:type="paragraph" w:styleId="ListParagraph">
    <w:name w:val="List Paragraph"/>
    <w:basedOn w:val="Normal"/>
    <w:uiPriority w:val="34"/>
    <w:qFormat/>
    <w:rsid w:val="00DE5F19"/>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D74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485"/>
    <w:rPr>
      <w:rFonts w:ascii="Tahoma" w:hAnsi="Tahoma" w:cs="Tahoma"/>
      <w:sz w:val="16"/>
      <w:szCs w:val="16"/>
    </w:rPr>
  </w:style>
  <w:style w:type="character" w:styleId="Hyperlink">
    <w:name w:val="Hyperlink"/>
    <w:basedOn w:val="DefaultParagraphFont"/>
    <w:uiPriority w:val="99"/>
    <w:unhideWhenUsed/>
    <w:rsid w:val="009D7485"/>
    <w:rPr>
      <w:color w:val="0000FF" w:themeColor="hyperlink"/>
      <w:u w:val="single"/>
    </w:rPr>
  </w:style>
  <w:style w:type="character" w:styleId="FollowedHyperlink">
    <w:name w:val="FollowedHyperlink"/>
    <w:basedOn w:val="DefaultParagraphFont"/>
    <w:uiPriority w:val="99"/>
    <w:semiHidden/>
    <w:unhideWhenUsed/>
    <w:rsid w:val="000C13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229665">
      <w:bodyDiv w:val="1"/>
      <w:marLeft w:val="0"/>
      <w:marRight w:val="0"/>
      <w:marTop w:val="0"/>
      <w:marBottom w:val="0"/>
      <w:divBdr>
        <w:top w:val="none" w:sz="0" w:space="0" w:color="auto"/>
        <w:left w:val="none" w:sz="0" w:space="0" w:color="auto"/>
        <w:bottom w:val="none" w:sz="0" w:space="0" w:color="auto"/>
        <w:right w:val="none" w:sz="0" w:space="0" w:color="auto"/>
      </w:divBdr>
      <w:divsChild>
        <w:div w:id="1018775654">
          <w:marLeft w:val="547"/>
          <w:marRight w:val="0"/>
          <w:marTop w:val="67"/>
          <w:marBottom w:val="0"/>
          <w:divBdr>
            <w:top w:val="none" w:sz="0" w:space="0" w:color="auto"/>
            <w:left w:val="none" w:sz="0" w:space="0" w:color="auto"/>
            <w:bottom w:val="none" w:sz="0" w:space="0" w:color="auto"/>
            <w:right w:val="none" w:sz="0" w:space="0" w:color="auto"/>
          </w:divBdr>
        </w:div>
        <w:div w:id="955059934">
          <w:marLeft w:val="547"/>
          <w:marRight w:val="0"/>
          <w:marTop w:val="67"/>
          <w:marBottom w:val="0"/>
          <w:divBdr>
            <w:top w:val="none" w:sz="0" w:space="0" w:color="auto"/>
            <w:left w:val="none" w:sz="0" w:space="0" w:color="auto"/>
            <w:bottom w:val="none" w:sz="0" w:space="0" w:color="auto"/>
            <w:right w:val="none" w:sz="0" w:space="0" w:color="auto"/>
          </w:divBdr>
        </w:div>
        <w:div w:id="2020040395">
          <w:marLeft w:val="1166"/>
          <w:marRight w:val="0"/>
          <w:marTop w:val="67"/>
          <w:marBottom w:val="0"/>
          <w:divBdr>
            <w:top w:val="none" w:sz="0" w:space="0" w:color="auto"/>
            <w:left w:val="none" w:sz="0" w:space="0" w:color="auto"/>
            <w:bottom w:val="none" w:sz="0" w:space="0" w:color="auto"/>
            <w:right w:val="none" w:sz="0" w:space="0" w:color="auto"/>
          </w:divBdr>
        </w:div>
        <w:div w:id="300501089">
          <w:marLeft w:val="1800"/>
          <w:marRight w:val="0"/>
          <w:marTop w:val="67"/>
          <w:marBottom w:val="0"/>
          <w:divBdr>
            <w:top w:val="none" w:sz="0" w:space="0" w:color="auto"/>
            <w:left w:val="none" w:sz="0" w:space="0" w:color="auto"/>
            <w:bottom w:val="none" w:sz="0" w:space="0" w:color="auto"/>
            <w:right w:val="none" w:sz="0" w:space="0" w:color="auto"/>
          </w:divBdr>
        </w:div>
        <w:div w:id="1321809308">
          <w:marLeft w:val="1800"/>
          <w:marRight w:val="0"/>
          <w:marTop w:val="67"/>
          <w:marBottom w:val="0"/>
          <w:divBdr>
            <w:top w:val="none" w:sz="0" w:space="0" w:color="auto"/>
            <w:left w:val="none" w:sz="0" w:space="0" w:color="auto"/>
            <w:bottom w:val="none" w:sz="0" w:space="0" w:color="auto"/>
            <w:right w:val="none" w:sz="0" w:space="0" w:color="auto"/>
          </w:divBdr>
        </w:div>
        <w:div w:id="844593867">
          <w:marLeft w:val="1800"/>
          <w:marRight w:val="0"/>
          <w:marTop w:val="67"/>
          <w:marBottom w:val="0"/>
          <w:divBdr>
            <w:top w:val="none" w:sz="0" w:space="0" w:color="auto"/>
            <w:left w:val="none" w:sz="0" w:space="0" w:color="auto"/>
            <w:bottom w:val="none" w:sz="0" w:space="0" w:color="auto"/>
            <w:right w:val="none" w:sz="0" w:space="0" w:color="auto"/>
          </w:divBdr>
        </w:div>
        <w:div w:id="1291324442">
          <w:marLeft w:val="1800"/>
          <w:marRight w:val="0"/>
          <w:marTop w:val="67"/>
          <w:marBottom w:val="0"/>
          <w:divBdr>
            <w:top w:val="none" w:sz="0" w:space="0" w:color="auto"/>
            <w:left w:val="none" w:sz="0" w:space="0" w:color="auto"/>
            <w:bottom w:val="none" w:sz="0" w:space="0" w:color="auto"/>
            <w:right w:val="none" w:sz="0" w:space="0" w:color="auto"/>
          </w:divBdr>
        </w:div>
        <w:div w:id="569267335">
          <w:marLeft w:val="1800"/>
          <w:marRight w:val="0"/>
          <w:marTop w:val="67"/>
          <w:marBottom w:val="0"/>
          <w:divBdr>
            <w:top w:val="none" w:sz="0" w:space="0" w:color="auto"/>
            <w:left w:val="none" w:sz="0" w:space="0" w:color="auto"/>
            <w:bottom w:val="none" w:sz="0" w:space="0" w:color="auto"/>
            <w:right w:val="none" w:sz="0" w:space="0" w:color="auto"/>
          </w:divBdr>
        </w:div>
        <w:div w:id="1601402741">
          <w:marLeft w:val="1800"/>
          <w:marRight w:val="0"/>
          <w:marTop w:val="67"/>
          <w:marBottom w:val="0"/>
          <w:divBdr>
            <w:top w:val="none" w:sz="0" w:space="0" w:color="auto"/>
            <w:left w:val="none" w:sz="0" w:space="0" w:color="auto"/>
            <w:bottom w:val="none" w:sz="0" w:space="0" w:color="auto"/>
            <w:right w:val="none" w:sz="0" w:space="0" w:color="auto"/>
          </w:divBdr>
        </w:div>
        <w:div w:id="1492721456">
          <w:marLeft w:val="547"/>
          <w:marRight w:val="0"/>
          <w:marTop w:val="67"/>
          <w:marBottom w:val="0"/>
          <w:divBdr>
            <w:top w:val="none" w:sz="0" w:space="0" w:color="auto"/>
            <w:left w:val="none" w:sz="0" w:space="0" w:color="auto"/>
            <w:bottom w:val="none" w:sz="0" w:space="0" w:color="auto"/>
            <w:right w:val="none" w:sz="0" w:space="0" w:color="auto"/>
          </w:divBdr>
        </w:div>
        <w:div w:id="1076787274">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com.marines.mil/Portals/127/Docs/AITB/FY14/IULTC/FY%2014%20ISULC%20Course%20Message%20130515.doc"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ecom.marines.mil/Portals/127/Docs/AITB/FY14/IULTC/pdf/ISULC%20GEARLIST.pdf" TargetMode="External"/><Relationship Id="rId4" Type="http://schemas.openxmlformats.org/officeDocument/2006/relationships/settings" Target="settings.xml"/><Relationship Id="rId9" Type="http://schemas.openxmlformats.org/officeDocument/2006/relationships/hyperlink" Target="http://www.tecom.marines.mil/Portals/127/Docs/AITB/FY14/IULTC/pdf/ISULC%20CHECKLI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Perez CIV Stevan</dc:creator>
  <cp:lastModifiedBy>Wildman GySgt John W</cp:lastModifiedBy>
  <cp:revision>3</cp:revision>
  <dcterms:created xsi:type="dcterms:W3CDTF">2015-04-27T17:43:00Z</dcterms:created>
  <dcterms:modified xsi:type="dcterms:W3CDTF">2015-04-27T18:08:00Z</dcterms:modified>
</cp:coreProperties>
</file>